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F609" w14:textId="39D3A238" w:rsidR="004717CF" w:rsidRDefault="0058584C" w:rsidP="0058584C">
      <w:pPr>
        <w:spacing w:line="420" w:lineRule="exact"/>
        <w:jc w:val="center"/>
        <w:rPr>
          <w:rFonts w:ascii="游ゴシック" w:eastAsia="游ゴシック" w:hAnsi="游ゴシック"/>
          <w:sz w:val="22"/>
        </w:rPr>
      </w:pPr>
      <w:r w:rsidRPr="0058584C">
        <w:rPr>
          <w:rFonts w:ascii="游ゴシック" w:eastAsia="游ゴシック" w:hAnsi="游ゴシック" w:hint="eastAsia"/>
          <w:sz w:val="24"/>
        </w:rPr>
        <w:t>構造耐力上の安全性の確認について（</w:t>
      </w:r>
      <w:r w:rsidR="004B70AA">
        <w:rPr>
          <w:rFonts w:ascii="游ゴシック" w:eastAsia="游ゴシック" w:hAnsi="游ゴシック" w:hint="eastAsia"/>
          <w:sz w:val="24"/>
        </w:rPr>
        <w:t>建築基準</w:t>
      </w:r>
      <w:r w:rsidRPr="0058584C">
        <w:rPr>
          <w:rFonts w:ascii="游ゴシック" w:eastAsia="游ゴシック" w:hAnsi="游ゴシック" w:hint="eastAsia"/>
          <w:sz w:val="24"/>
        </w:rPr>
        <w:t>法第20条関連）</w:t>
      </w:r>
    </w:p>
    <w:p w14:paraId="342A8BA4" w14:textId="44077863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5F3BDA48" w14:textId="5F656BDB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1631F5D8" w14:textId="50E78800" w:rsidR="0058584C" w:rsidRPr="0058584C" w:rsidRDefault="008C2810" w:rsidP="0058584C">
      <w:pPr>
        <w:spacing w:line="420" w:lineRule="exac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2D81" wp14:editId="583C1B70">
                <wp:simplePos x="0" y="0"/>
                <wp:positionH relativeFrom="column">
                  <wp:posOffset>2517684</wp:posOffset>
                </wp:positionH>
                <wp:positionV relativeFrom="paragraph">
                  <wp:posOffset>17145</wp:posOffset>
                </wp:positionV>
                <wp:extent cx="3265714" cy="664465"/>
                <wp:effectExtent l="0" t="0" r="11430" b="13589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664465"/>
                        </a:xfrm>
                        <a:prstGeom prst="wedgeRectCallout">
                          <a:avLst>
                            <a:gd name="adj1" fmla="val -2513"/>
                            <a:gd name="adj2" fmla="val 6620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ADFD3" w14:textId="77777777" w:rsidR="00211CAB" w:rsidRDefault="00E374EB" w:rsidP="008C281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8C2810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構造計算ルート</w:t>
                            </w:r>
                            <w:r w:rsidR="00211CAB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１</w:t>
                            </w:r>
                            <w:r w:rsidR="00211CAB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以外の</w:t>
                            </w:r>
                            <w:r w:rsidRPr="008C2810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場合は、</w:t>
                            </w:r>
                            <w:r w:rsidRPr="008C2810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下段</w:t>
                            </w:r>
                            <w:r w:rsidRPr="008C2810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の記載例を</w:t>
                            </w:r>
                          </w:p>
                          <w:p w14:paraId="1A9A5C34" w14:textId="5F4B8CF1" w:rsidR="00E374EB" w:rsidRPr="008C2810" w:rsidRDefault="00E374EB" w:rsidP="008C281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8C2810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参考に</w:t>
                            </w:r>
                            <w:r w:rsidRPr="008C2810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該当</w:t>
                            </w:r>
                            <w:r w:rsidRPr="008C2810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するものを記載してください。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E2D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98.25pt;margin-top:1.35pt;width:257.1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DY9AIAAB8GAAAOAAAAZHJzL2Uyb0RvYy54bWysVM1uEzEQviPxDpbv7SbbJC1RN1WUqgip&#10;tFVb1LPjtZNF/sN2sgm3njghIS4ceuPCM4DE01SReAzG3s12BYUD4rLr+fE3M9+M5/BoJQVaMusK&#10;rTLc3e1gxBTVeaFmGX51fbJzgJHzROVEaMUyvGYOH42ePjkszZCleq5FziwCEOWGpcnw3HszTBJH&#10;50wSt6sNU2Dk2kriQbSzJLekBHQpkrTTGSSltrmxmjLnQHtcGfEo4nPOqD/n3DGPRIYhNx+/Nn6n&#10;4ZuMDslwZomZF7ROg/xDFpIUCoI2UMfEE7SwxW9QsqBWO839LtUy0ZwXlMUaoJpu55dqrubEsFgL&#10;kONMQ5P7f7D0bHlhUZFD7zBSREKLNnd3P7583Hz/vPnw9f72/ebdt/vbT6gbqCqNG8KNK3Nha8nB&#10;MdS94laGP1SEVpHedUMvW3lEQbmXDvr73R5GFGyDQa836AfQ5OG2sc4/Z1qicMhwyfIZu4QeTogQ&#10;euEjw2R56nykOq8TJvlrSJ5LAZ1bEoF20n53r+5syydt+wwGaWe/jl4jQh7b+AHeaVHkJ4UQUQjz&#10;yCbCIgiQYUIpU74X8xEL+VLnlR4mslPPFKhh8ir1wVYNIeJkB6RYeCtIEsit6IwnvxYshBbqknHo&#10;EBCYxoANQjuXbmWak5xV6v4fY0bAgMyhuAa7Bniszth6SL32D1dZfFrN5c7fEqta3NyIkbXyzWVZ&#10;KG0fAxC+iVz5A2UtasLRr6arehKnOl/DKFtdvXFn6EkBU3RKnL8gFkYDnj8sKn8OHy50mWFdnzCa&#10;a/v2MX3wh7cGVoxKWBIZdm8WxDKMxAsFr/BZt9cLWyUKvf5+CoJtW6Zti1rIiYbpgWGF7OIx+Hux&#10;PXKr5Q3ss3GICiaiKMTOMPV2K0x8tbxgI1I2Hkc32CSG+FN1ZWgADwSHQb5e3RBr6qfk4RGe6e1C&#10;IcM481VnHnzDTaXHC6954YMxUFzxWguwheLc1hszrLm2HL0e9vroJwAAAP//AwBQSwMEFAAGAAgA&#10;AAAhAHl0k4bgAAAACQEAAA8AAABkcnMvZG93bnJldi54bWxMj0FPwkAQhe8m/ofNmHiTXSCClG4J&#10;McrFSEIhhuPQHdrG7m7T3UL11zue9Dh5X958L10NthEX6kLtnYbxSIEgV3hTu1LDYf/68AQiRHQG&#10;G+9IwxcFWGW3Nykmxl/dji55LAWXuJCghirGNpEyFBVZDCPfkuPs7DuLkc+ulKbDK5fbRk6UmkmL&#10;teMPFbb0XFHxmfdWg/novo9Y7PrN9uV82L/l63fclFrf3w3rJYhIQ/yD4Vef1SFjp5PvnQmi0TBd&#10;zB4Z1TCZg+B8MVY85cSgmk9BZqn8vyD7AQAA//8DAFBLAQItABQABgAIAAAAIQC2gziS/gAAAOEB&#10;AAATAAAAAAAAAAAAAAAAAAAAAABbQ29udGVudF9UeXBlc10ueG1sUEsBAi0AFAAGAAgAAAAhADj9&#10;If/WAAAAlAEAAAsAAAAAAAAAAAAAAAAALwEAAF9yZWxzLy5yZWxzUEsBAi0AFAAGAAgAAAAhAENI&#10;0Nj0AgAAHwYAAA4AAAAAAAAAAAAAAAAALgIAAGRycy9lMm9Eb2MueG1sUEsBAi0AFAAGAAgAAAAh&#10;AHl0k4bgAAAACQEAAA8AAAAAAAAAAAAAAAAATgUAAGRycy9kb3ducmV2LnhtbFBLBQYAAAAABAAE&#10;APMAAABbBgAAAAA=&#10;" adj="10257,25101" fillcolor="#fff2cc [663]" strokecolor="#1f4d78 [1604]" strokeweight="1pt">
                <v:textbox>
                  <w:txbxContent>
                    <w:p w14:paraId="706ADFD3" w14:textId="77777777" w:rsidR="00211CAB" w:rsidRDefault="00E374EB" w:rsidP="008C2810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  <w:r w:rsidRPr="008C2810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構造計算ルート</w:t>
                      </w:r>
                      <w:r w:rsidR="00211CAB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１</w:t>
                      </w:r>
                      <w:r w:rsidR="00211CAB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以外の</w:t>
                      </w:r>
                      <w:r w:rsidRPr="008C2810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場合は、</w:t>
                      </w:r>
                      <w:r w:rsidRPr="008C2810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下段</w:t>
                      </w:r>
                      <w:r w:rsidRPr="008C2810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の記載例を</w:t>
                      </w:r>
                    </w:p>
                    <w:p w14:paraId="1A9A5C34" w14:textId="5F4B8CF1" w:rsidR="00E374EB" w:rsidRPr="008C2810" w:rsidRDefault="00E374EB" w:rsidP="008C2810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  <w:r w:rsidRPr="008C2810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参考に</w:t>
                      </w:r>
                      <w:r w:rsidRPr="008C2810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該当</w:t>
                      </w:r>
                      <w:r w:rsidRPr="008C2810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するものを記載してください。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584C" w:rsidRPr="0058584C">
        <w:rPr>
          <w:rFonts w:ascii="游ゴシック" w:eastAsia="游ゴシック" w:hAnsi="游ゴシック" w:hint="eastAsia"/>
          <w:sz w:val="22"/>
          <w:u w:val="single"/>
        </w:rPr>
        <w:t xml:space="preserve">申請物件名称　　　　　　　　　　　　　　　　　　　　　　　　　　　　　　　　</w:t>
      </w:r>
    </w:p>
    <w:p w14:paraId="15B11259" w14:textId="0E89A5D0" w:rsidR="0058584C" w:rsidRPr="007D714B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4519A09F" w14:textId="214DE610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66BD6951" w14:textId="49244452" w:rsidR="0058584C" w:rsidRDefault="0058584C" w:rsidP="009D10B7">
      <w:pPr>
        <w:spacing w:line="4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上記申請物件に関する構造耐力上の安全性については、</w:t>
      </w:r>
      <w:r w:rsidR="00914829" w:rsidRPr="002A36B9">
        <w:rPr>
          <w:rFonts w:ascii="游ゴシック" w:eastAsia="游ゴシック" w:hAnsi="游ゴシック" w:hint="eastAsia"/>
          <w:sz w:val="22"/>
          <w:highlight w:val="cyan"/>
        </w:rPr>
        <w:t>法第20条第1</w:t>
      </w:r>
      <w:r w:rsidR="00914829">
        <w:rPr>
          <w:rFonts w:ascii="游ゴシック" w:eastAsia="游ゴシック" w:hAnsi="游ゴシック" w:hint="eastAsia"/>
          <w:sz w:val="22"/>
          <w:highlight w:val="cyan"/>
        </w:rPr>
        <w:t>項第三</w:t>
      </w:r>
      <w:r w:rsidR="00914829" w:rsidRPr="002A36B9">
        <w:rPr>
          <w:rFonts w:ascii="游ゴシック" w:eastAsia="游ゴシック" w:hAnsi="游ゴシック" w:hint="eastAsia"/>
          <w:sz w:val="22"/>
          <w:highlight w:val="cyan"/>
        </w:rPr>
        <w:t>号イ前</w:t>
      </w:r>
      <w:bookmarkStart w:id="0" w:name="_GoBack"/>
      <w:bookmarkEnd w:id="0"/>
      <w:r w:rsidR="00914829" w:rsidRPr="006B761C">
        <w:rPr>
          <w:rFonts w:ascii="游ゴシック" w:eastAsia="游ゴシック" w:hAnsi="游ゴシック" w:hint="eastAsia"/>
          <w:sz w:val="22"/>
          <w:highlight w:val="cyan"/>
        </w:rPr>
        <w:t>段の技術的基準に適合していること及び令第81条第</w:t>
      </w:r>
      <w:r w:rsidR="00914829">
        <w:rPr>
          <w:rFonts w:ascii="游ゴシック" w:eastAsia="游ゴシック" w:hAnsi="游ゴシック" w:hint="eastAsia"/>
          <w:sz w:val="22"/>
          <w:highlight w:val="cyan"/>
        </w:rPr>
        <w:t>３項</w:t>
      </w:r>
      <w:r w:rsidR="00914829" w:rsidRPr="006B761C">
        <w:rPr>
          <w:rFonts w:ascii="游ゴシック" w:eastAsia="游ゴシック" w:hAnsi="游ゴシック" w:hint="eastAsia"/>
          <w:sz w:val="22"/>
          <w:highlight w:val="cyan"/>
        </w:rPr>
        <w:t>に</w:t>
      </w:r>
      <w:r w:rsidR="00914829" w:rsidRPr="006B761C">
        <w:rPr>
          <w:rFonts w:ascii="游ゴシック" w:eastAsia="游ゴシック" w:hAnsi="游ゴシック" w:hint="eastAsia"/>
          <w:color w:val="000000" w:themeColor="text1"/>
          <w:sz w:val="22"/>
          <w:highlight w:val="cyan"/>
        </w:rPr>
        <w:t>定める基準</w:t>
      </w:r>
      <w:r w:rsidR="00211CAB">
        <w:rPr>
          <w:rFonts w:ascii="游ゴシック" w:eastAsia="游ゴシック" w:hAnsi="游ゴシック" w:hint="eastAsia"/>
          <w:sz w:val="22"/>
          <w:highlight w:val="cyan"/>
        </w:rPr>
        <w:t>に適合した</w:t>
      </w:r>
      <w:r w:rsidR="00914829" w:rsidRPr="006B761C">
        <w:rPr>
          <w:rFonts w:ascii="游ゴシック" w:eastAsia="游ゴシック" w:hAnsi="游ゴシック" w:hint="eastAsia"/>
          <w:color w:val="000000" w:themeColor="text1"/>
          <w:sz w:val="22"/>
          <w:highlight w:val="cyan"/>
        </w:rPr>
        <w:t>構造計算</w:t>
      </w:r>
      <w:r w:rsidR="00914829">
        <w:rPr>
          <w:rFonts w:ascii="游ゴシック" w:eastAsia="游ゴシック" w:hAnsi="游ゴシック" w:hint="eastAsia"/>
          <w:color w:val="000000" w:themeColor="text1"/>
          <w:sz w:val="22"/>
          <w:highlight w:val="cyan"/>
        </w:rPr>
        <w:t>（ルート１）</w:t>
      </w:r>
      <w:r w:rsidR="00175FF2" w:rsidRPr="006B761C">
        <w:rPr>
          <w:rFonts w:ascii="游ゴシック" w:eastAsia="游ゴシック" w:hAnsi="游ゴシック" w:hint="eastAsia"/>
          <w:color w:val="000000" w:themeColor="text1"/>
          <w:sz w:val="22"/>
        </w:rPr>
        <w:t>により</w:t>
      </w:r>
      <w:r>
        <w:rPr>
          <w:rFonts w:ascii="游ゴシック" w:eastAsia="游ゴシック" w:hAnsi="游ゴシック" w:hint="eastAsia"/>
          <w:sz w:val="22"/>
        </w:rPr>
        <w:t>確認しています。</w:t>
      </w:r>
    </w:p>
    <w:p w14:paraId="6742FE4E" w14:textId="5FF6FBBA" w:rsidR="004B70AA" w:rsidRDefault="009D10B7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ただし、法第85条</w:t>
      </w:r>
      <w:r w:rsidRPr="00006373">
        <w:rPr>
          <w:rFonts w:ascii="游ゴシック" w:eastAsia="游ゴシック" w:hAnsi="游ゴシック" w:hint="eastAsia"/>
          <w:sz w:val="22"/>
        </w:rPr>
        <w:t>第</w:t>
      </w:r>
      <w:r w:rsidR="00044153" w:rsidRPr="007675D3">
        <w:rPr>
          <w:rFonts w:ascii="游ゴシック" w:eastAsia="游ゴシック" w:hAnsi="游ゴシック" w:hint="eastAsia"/>
          <w:sz w:val="22"/>
          <w:highlight w:val="cyan"/>
        </w:rPr>
        <w:t>６</w:t>
      </w:r>
      <w:r w:rsidR="006B761C" w:rsidRPr="00006373">
        <w:rPr>
          <w:rFonts w:ascii="游ゴシック" w:eastAsia="游ゴシック" w:hAnsi="游ゴシック" w:hint="eastAsia"/>
          <w:sz w:val="22"/>
          <w:highlight w:val="cyan"/>
        </w:rPr>
        <w:t>(又は</w:t>
      </w:r>
      <w:r w:rsidR="00044153" w:rsidRPr="00006373">
        <w:rPr>
          <w:rFonts w:ascii="游ゴシック" w:eastAsia="游ゴシック" w:hAnsi="游ゴシック" w:hint="eastAsia"/>
          <w:sz w:val="22"/>
          <w:highlight w:val="cyan"/>
        </w:rPr>
        <w:t>７</w:t>
      </w:r>
      <w:r w:rsidR="004F12FB" w:rsidRPr="00006373">
        <w:rPr>
          <w:rFonts w:ascii="游ゴシック" w:eastAsia="游ゴシック" w:hAnsi="游ゴシック" w:hint="eastAsia"/>
          <w:sz w:val="22"/>
          <w:highlight w:val="cyan"/>
        </w:rPr>
        <w:t>)</w:t>
      </w:r>
      <w:r w:rsidRPr="00006373">
        <w:rPr>
          <w:rFonts w:ascii="游ゴシック" w:eastAsia="游ゴシック" w:hAnsi="游ゴシック" w:hint="eastAsia"/>
          <w:sz w:val="22"/>
        </w:rPr>
        <w:t>項</w:t>
      </w:r>
      <w:r>
        <w:rPr>
          <w:rFonts w:ascii="游ゴシック" w:eastAsia="游ゴシック" w:hAnsi="游ゴシック" w:hint="eastAsia"/>
          <w:sz w:val="22"/>
        </w:rPr>
        <w:t>及び令第147条第1項</w:t>
      </w:r>
      <w:r w:rsidR="004F12FB">
        <w:rPr>
          <w:rFonts w:ascii="游ゴシック" w:eastAsia="游ゴシック" w:hAnsi="游ゴシック" w:hint="eastAsia"/>
          <w:sz w:val="22"/>
        </w:rPr>
        <w:t>の規定</w:t>
      </w:r>
      <w:r>
        <w:rPr>
          <w:rFonts w:ascii="游ゴシック" w:eastAsia="游ゴシック" w:hAnsi="游ゴシック" w:hint="eastAsia"/>
          <w:sz w:val="22"/>
        </w:rPr>
        <w:t>により</w:t>
      </w:r>
      <w:r w:rsidR="004F12FB">
        <w:rPr>
          <w:rFonts w:ascii="游ゴシック" w:eastAsia="游ゴシック" w:hAnsi="游ゴシック" w:hint="eastAsia"/>
          <w:sz w:val="22"/>
        </w:rPr>
        <w:t>、以下のとおり一部規定の</w:t>
      </w:r>
      <w:r>
        <w:rPr>
          <w:rFonts w:ascii="游ゴシック" w:eastAsia="游ゴシック" w:hAnsi="游ゴシック" w:hint="eastAsia"/>
          <w:sz w:val="22"/>
        </w:rPr>
        <w:t>適用を除外しています。</w:t>
      </w:r>
    </w:p>
    <w:p w14:paraId="761BEC19" w14:textId="14F56FE2" w:rsidR="00914829" w:rsidRDefault="00914829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26D1DC90" w14:textId="77777777" w:rsidR="008C2810" w:rsidRDefault="008C2810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7973CE51" w14:textId="5D52F90C" w:rsidR="009D10B7" w:rsidRDefault="009D10B7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＜適用を除外する項目＞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104"/>
      </w:tblGrid>
      <w:tr w:rsidR="004F12FB" w14:paraId="242CA934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732E3DBE" w14:textId="6D07C80D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条項</w:t>
            </w:r>
          </w:p>
        </w:tc>
        <w:tc>
          <w:tcPr>
            <w:tcW w:w="2977" w:type="dxa"/>
            <w:vAlign w:val="center"/>
          </w:tcPr>
          <w:p w14:paraId="5C2A122E" w14:textId="0674CCB7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緩和項目</w:t>
            </w:r>
          </w:p>
        </w:tc>
        <w:tc>
          <w:tcPr>
            <w:tcW w:w="4104" w:type="dxa"/>
            <w:vAlign w:val="center"/>
          </w:tcPr>
          <w:p w14:paraId="36C0F967" w14:textId="53A70188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代替措置</w:t>
            </w:r>
          </w:p>
        </w:tc>
      </w:tr>
      <w:tr w:rsidR="009D10B7" w14:paraId="7C1BC9F7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6063FFFD" w14:textId="01CCB6F1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法第37条</w:t>
            </w:r>
          </w:p>
        </w:tc>
        <w:tc>
          <w:tcPr>
            <w:tcW w:w="2977" w:type="dxa"/>
            <w:vAlign w:val="center"/>
          </w:tcPr>
          <w:p w14:paraId="77606D6A" w14:textId="5C176C00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指定建築材料（構造用鋼材）の品質</w:t>
            </w:r>
          </w:p>
        </w:tc>
        <w:tc>
          <w:tcPr>
            <w:tcW w:w="4104" w:type="dxa"/>
            <w:vAlign w:val="center"/>
          </w:tcPr>
          <w:p w14:paraId="495279E9" w14:textId="5E0CECB2" w:rsidR="009D10B7" w:rsidRPr="007D714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海外規格●●に適合</w:t>
            </w:r>
          </w:p>
        </w:tc>
      </w:tr>
      <w:tr w:rsidR="009D10B7" w14:paraId="62A34743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177CB4D9" w14:textId="6A1F041D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令第90条</w:t>
            </w:r>
          </w:p>
        </w:tc>
        <w:tc>
          <w:tcPr>
            <w:tcW w:w="2977" w:type="dxa"/>
            <w:vAlign w:val="center"/>
          </w:tcPr>
          <w:p w14:paraId="2632A23B" w14:textId="771976F8" w:rsidR="009D10B7" w:rsidRPr="007D714B" w:rsidRDefault="009D10B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鋼材等の許容応力度</w:t>
            </w:r>
          </w:p>
        </w:tc>
        <w:tc>
          <w:tcPr>
            <w:tcW w:w="4104" w:type="dxa"/>
            <w:vAlign w:val="center"/>
          </w:tcPr>
          <w:p w14:paraId="7F866A27" w14:textId="208ED876" w:rsidR="009D10B7" w:rsidRPr="007D714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  <w:highlight w:val="cyan"/>
              </w:rPr>
            </w:pPr>
            <w:r w:rsidRPr="007D714B">
              <w:rPr>
                <w:rFonts w:ascii="游ゴシック" w:eastAsia="游ゴシック" w:hAnsi="游ゴシック" w:hint="eastAsia"/>
                <w:sz w:val="22"/>
                <w:highlight w:val="cyan"/>
              </w:rPr>
              <w:t>第三者機関●●による実験結果による基準強度を適用</w:t>
            </w:r>
          </w:p>
        </w:tc>
      </w:tr>
    </w:tbl>
    <w:p w14:paraId="4B931F4C" w14:textId="6D05AEC4" w:rsidR="009D10B7" w:rsidRDefault="009D10B7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33457EAA" w14:textId="5C074146" w:rsidR="00E374EB" w:rsidRDefault="00E374EB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3A622F78" w14:textId="2D5051CA" w:rsidR="00E374EB" w:rsidRDefault="00E374EB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38D05234" w14:textId="146EBC5D" w:rsidR="00E374EB" w:rsidRPr="009D10B7" w:rsidRDefault="00E374EB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74"/>
      </w:tblGrid>
      <w:tr w:rsidR="004B70AA" w:rsidRPr="00C70520" w14:paraId="14A30DEB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24BE2752" w14:textId="1EDCE3AA" w:rsidR="004B70AA" w:rsidRPr="00C70520" w:rsidRDefault="004B70AA" w:rsidP="00C705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C70520">
              <w:rPr>
                <w:rFonts w:ascii="游ゴシック" w:eastAsia="游ゴシック" w:hAnsi="游ゴシック" w:hint="eastAsia"/>
                <w:sz w:val="20"/>
              </w:rPr>
              <w:t>構造設計者氏名</w:t>
            </w:r>
          </w:p>
        </w:tc>
        <w:tc>
          <w:tcPr>
            <w:tcW w:w="3674" w:type="dxa"/>
            <w:vAlign w:val="center"/>
          </w:tcPr>
          <w:p w14:paraId="2DF73A53" w14:textId="74159442" w:rsidR="004B70AA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一級建築士登録第　　　　号</w:t>
            </w:r>
          </w:p>
          <w:p w14:paraId="00854B36" w14:textId="77777777" w:rsidR="00C70520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構造設計一級建築士登録第　　　　号</w:t>
            </w:r>
          </w:p>
        </w:tc>
      </w:tr>
      <w:tr w:rsidR="004B70AA" w:rsidRPr="00C70520" w14:paraId="38F46486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4E59A5CC" w14:textId="018964F4" w:rsidR="004B70AA" w:rsidRPr="00C70520" w:rsidRDefault="004B70AA" w:rsidP="00C70520">
            <w:pPr>
              <w:spacing w:line="280" w:lineRule="exact"/>
              <w:ind w:right="27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74" w:type="dxa"/>
            <w:vAlign w:val="center"/>
          </w:tcPr>
          <w:p w14:paraId="603A55A4" w14:textId="1EA82458" w:rsidR="004B70AA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22"/>
              </w:rPr>
            </w:pPr>
            <w:r w:rsidRPr="00C70520">
              <w:rPr>
                <w:rFonts w:ascii="游ゴシック" w:eastAsia="游ゴシック" w:hAnsi="游ゴシック" w:hint="eastAsia"/>
                <w:sz w:val="22"/>
              </w:rPr>
              <w:t>〇〇　〇〇</w:t>
            </w:r>
          </w:p>
        </w:tc>
      </w:tr>
      <w:tr w:rsidR="00C70520" w:rsidRPr="00C70520" w14:paraId="66B03B76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12C12A65" w14:textId="77777777" w:rsidR="00C70520" w:rsidRPr="002A36B9" w:rsidRDefault="00C70520" w:rsidP="00C70520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構造関係規定の</w:t>
            </w:r>
          </w:p>
          <w:p w14:paraId="178423A2" w14:textId="77777777" w:rsidR="00C70520" w:rsidRPr="002A36B9" w:rsidRDefault="00C70520" w:rsidP="00C70520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法適合確認</w:t>
            </w:r>
          </w:p>
        </w:tc>
        <w:tc>
          <w:tcPr>
            <w:tcW w:w="3674" w:type="dxa"/>
            <w:vAlign w:val="center"/>
          </w:tcPr>
          <w:p w14:paraId="4357C782" w14:textId="0A6A9ABA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16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</w:rPr>
              <w:t>一級建築士登録第　　　　号</w:t>
            </w:r>
          </w:p>
          <w:p w14:paraId="198D8EE9" w14:textId="77777777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16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</w:rPr>
              <w:t>構造設計一級建築士登録第　　　　号</w:t>
            </w:r>
          </w:p>
        </w:tc>
      </w:tr>
      <w:tr w:rsidR="00C70520" w:rsidRPr="00C70520" w14:paraId="2D1A2C14" w14:textId="77777777" w:rsidTr="002A36B9">
        <w:trPr>
          <w:trHeight w:val="454"/>
        </w:trPr>
        <w:tc>
          <w:tcPr>
            <w:tcW w:w="1985" w:type="dxa"/>
          </w:tcPr>
          <w:p w14:paraId="11E60E43" w14:textId="5D269233" w:rsidR="00C70520" w:rsidRPr="002A36B9" w:rsidRDefault="002A36B9" w:rsidP="002A36B9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8"/>
              </w:rPr>
              <w:t>(必要な場合)</w:t>
            </w:r>
          </w:p>
        </w:tc>
        <w:tc>
          <w:tcPr>
            <w:tcW w:w="3674" w:type="dxa"/>
            <w:vAlign w:val="center"/>
          </w:tcPr>
          <w:p w14:paraId="41BDE580" w14:textId="3ADC22C1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22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2"/>
              </w:rPr>
              <w:t>〇〇　〇〇</w:t>
            </w:r>
          </w:p>
        </w:tc>
      </w:tr>
    </w:tbl>
    <w:p w14:paraId="50CDF70D" w14:textId="0703035B" w:rsidR="00AE2D51" w:rsidRPr="00E374EB" w:rsidRDefault="008C2810" w:rsidP="00914829">
      <w:pPr>
        <w:widowControl/>
        <w:jc w:val="lef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E374EB"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EC29C" wp14:editId="482CD0C2">
                <wp:simplePos x="0" y="0"/>
                <wp:positionH relativeFrom="margin">
                  <wp:posOffset>-17145</wp:posOffset>
                </wp:positionH>
                <wp:positionV relativeFrom="paragraph">
                  <wp:posOffset>1050100</wp:posOffset>
                </wp:positionV>
                <wp:extent cx="5391150" cy="664845"/>
                <wp:effectExtent l="19050" t="19050" r="1905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648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3003" w14:textId="110B7FC6" w:rsidR="00914829" w:rsidRPr="00914829" w:rsidRDefault="00914829" w:rsidP="00914829">
                            <w:pPr>
                              <w:spacing w:line="420" w:lineRule="exact"/>
                              <w:ind w:right="440" w:firstLineChars="100" w:firstLine="22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E374E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法第20条第1項第二号イ前段の技術的基準に適合していること及び令第81条第2項第一号イに</w:t>
                            </w:r>
                            <w:r w:rsidRPr="00E374E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定める基準</w:t>
                            </w:r>
                            <w:r w:rsidR="00211CA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に</w:t>
                            </w:r>
                            <w:r w:rsidR="00211CAB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適合</w:t>
                            </w:r>
                            <w:r w:rsidRPr="00E374E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し</w:t>
                            </w:r>
                            <w:r w:rsidRPr="00E374E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た構造計算（ルート３）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EC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35pt;margin-top:82.7pt;width:424.5pt;height: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hCagIAAJ0EAAAOAAAAZHJzL2Uyb0RvYy54bWysVM2O0zAQviPxDpbvbJrSdrvRpqtll0VI&#10;y4+08ACu4zQWtifYbpNybCXEQ/AKiDPPkxdh7GS7XbghLpZnJvPNeL5vcn7RakU2wjoJJqfpyYgS&#10;YTgU0qxy+vHDzbM5Jc4zUzAFRuR0Kxy9WDx9ct7UmRhDBaoQliCIcVlT57Tyvs6SxPFKaOZOoBYG&#10;gyVYzTyadpUUljWIrlUyHo1mSQO2qC1w4Rx6r/sgXUT8shTcvytLJzxROcXefDxtPJfhTBbnLFtZ&#10;VleSD22wf+hCM2mw6AHqmnlG1lb+BaUlt+Cg9CccdAJlKbmIb8DXpKM/XnNXsVrEt+BwXH0Yk/t/&#10;sPzt5r0lssjpOD2lxDCNJHX7r93uR7f71e2/kW7/vdvvu91PtMk4DKypXYZ5dzVm+vYFtEh8fLyr&#10;b4F/csTAVcXMSlxaC00lWIENpyEzOUrtcVwAWTZvoMC6bO0hArWl1WGaOB+C6Ejc9kCWaD3h6Jw+&#10;P0vTKYY4xmazyXwyjSVYdp9dW+dfCdAkXHJqUQwRnW1unQ/dsOz+k1DMgZLFjVQqGkGA4kpZsmEo&#10;Hca5MH4S09VaY7u9HyU4GkSEbpRa757fu7FElHJAigUfFVGGNDj4+fR0GpEfBZ1dLQ/1A15fKCAe&#10;N6qlxwVSUuc0Vh26CVN/aYoob8+k6u+YrMxAQ5h8z4Fvl22UQOQoULSEYou8WOj3BfcbLxXYL5Q0&#10;uCs5dZ/XzApK1GuD3J6lk0lYrmhMpqdjNOxxZHkcYYYjVE49Jf31yseFDGM3cIkaKGWk56GToWXc&#10;gTjEYV/Dkh3b8auHv8riNwAAAP//AwBQSwMEFAAGAAgAAAAhAF9T1j7jAAAACgEAAA8AAABkcnMv&#10;ZG93bnJldi54bWxMj8tOwzAQRfdI/IM1SGxQayeUNIQ4VUBCAgmE+mDvxm4SNR5HsdMGvp5hBcuZ&#10;Obpzbr6abMdOZvCtQwnRXAAzWDndYi1ht32epcB8UKhV59BI+DIeVsXlRa4y7c64NqdNqBmFoM+U&#10;hCaEPuPcV42xys9db5BuBzdYFWgcaq4HdaZw2/FYiIRb1SJ9aFRvnhpTHTejlVC+j/ePTTp93rSv&#10;b8fvrfgoo5eDlNdXU/kALJgp/MHwq0/qUJDT3o2oPeskzOIlkbRP7hbACEgXyS2wvYR4KSLgRc7/&#10;Vyh+AAAA//8DAFBLAQItABQABgAIAAAAIQC2gziS/gAAAOEBAAATAAAAAAAAAAAAAAAAAAAAAABb&#10;Q29udGVudF9UeXBlc10ueG1sUEsBAi0AFAAGAAgAAAAhADj9If/WAAAAlAEAAAsAAAAAAAAAAAAA&#10;AAAALwEAAF9yZWxzLy5yZWxzUEsBAi0AFAAGAAgAAAAhAA1FmEJqAgAAnQQAAA4AAAAAAAAAAAAA&#10;AAAALgIAAGRycy9lMm9Eb2MueG1sUEsBAi0AFAAGAAgAAAAhAF9T1j7jAAAACgEAAA8AAAAAAAAA&#10;AAAAAAAAxAQAAGRycy9kb3ducmV2LnhtbFBLBQYAAAAABAAEAPMAAADUBQAAAAA=&#10;" fillcolor="#fff2cc [663]" strokeweight="2.25pt">
                <v:textbox>
                  <w:txbxContent>
                    <w:p w14:paraId="1D0A3003" w14:textId="110B7FC6" w:rsidR="00914829" w:rsidRPr="00914829" w:rsidRDefault="00914829" w:rsidP="00914829">
                      <w:pPr>
                        <w:spacing w:line="420" w:lineRule="exact"/>
                        <w:ind w:right="440" w:firstLineChars="100" w:firstLine="22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E374E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法第20条第1項第二号イ前段の技術的基準に適合していること及び令第81条第2項第一号イに</w:t>
                      </w:r>
                      <w:r w:rsidRPr="00E374E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定める基準</w:t>
                      </w:r>
                      <w:r w:rsidR="00211CA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に</w:t>
                      </w:r>
                      <w:r w:rsidR="00211CAB">
                        <w:rPr>
                          <w:rFonts w:ascii="游ゴシック" w:eastAsia="游ゴシック" w:hAnsi="游ゴシック"/>
                          <w:sz w:val="22"/>
                        </w:rPr>
                        <w:t>適合</w:t>
                      </w:r>
                      <w:r w:rsidRPr="00E374E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し</w:t>
                      </w:r>
                      <w:r w:rsidRPr="00E374E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た構造計算（ルート３）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4EB"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9FE26D" wp14:editId="3B2DE312">
                <wp:simplePos x="0" y="0"/>
                <wp:positionH relativeFrom="margin">
                  <wp:posOffset>-10160</wp:posOffset>
                </wp:positionH>
                <wp:positionV relativeFrom="paragraph">
                  <wp:posOffset>328740</wp:posOffset>
                </wp:positionV>
                <wp:extent cx="5391150" cy="653143"/>
                <wp:effectExtent l="19050" t="1905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531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79F6" w14:textId="6BAB2AA4" w:rsidR="008C2810" w:rsidRPr="00914829" w:rsidRDefault="008C2810" w:rsidP="008C2810">
                            <w:pPr>
                              <w:spacing w:line="420" w:lineRule="exact"/>
                              <w:ind w:right="440" w:firstLineChars="100" w:firstLine="22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E374E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法第20条第1項第二号イ前段の技術的基準に適合していること及び令第81条第2項第二号イに</w:t>
                            </w:r>
                            <w:r w:rsidRPr="00E374E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定める基準</w:t>
                            </w:r>
                            <w:r w:rsidR="00211CA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に</w:t>
                            </w:r>
                            <w:r w:rsidR="00211CAB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適合</w:t>
                            </w:r>
                            <w:r w:rsidRPr="00E374E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し</w:t>
                            </w:r>
                            <w:r w:rsidRPr="00E374E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た構造計算（ルート２）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E26D" id="_x0000_s1028" type="#_x0000_t202" style="position:absolute;margin-left:-.8pt;margin-top:25.9pt;width:424.5pt;height:5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C8aAIAAJsEAAAOAAAAZHJzL2Uyb0RvYy54bWysVM2O0zAQviPxDpbvbJpuu9uNmq6WXRYh&#10;LT/SwgO4jtNY2J5gu03KsZUQD8ErIM48T16EsZMtXbghLpZnJvN945lvMr9stSIbYZ0Ek9P0ZESJ&#10;MBwKaVY5/fD+9tmMEueZKZgCI3K6FY5eLp4+mTd1JsZQgSqEJQhiXNbUOa28r7MkcbwSmrkTqIXB&#10;YAlWM4+mXSWFZQ2ia5WMR6OzpAFb1Ba4cA69N32QLiJ+WQru35alE56onGJtPp42nstwJos5y1aW&#10;1ZXkQxnsH6rQTBokPUDdMM/I2sq/oLTkFhyU/oSDTqAsJRfxDfiadPTHa+4rVov4FmyOqw9tcv8P&#10;lr/ZvLNEFjkdU2KYxhF1+y/d7nu3+9ntv5Ju/63b77vdD7TJOLSrqV2GWfc15vn2ObQ49vh0V98B&#10;/+iIgeuKmZW4shaaSrACy01DZnKU2uO4ALJsXkOBvGztIQK1pdWhl9gdgug4tu1hVKL1hKNzenqR&#10;plMMcYydTU/TyWmkYNlDdm2dfylAk3DJqUUpRHS2uXM+VMOyh08CmQMli1upVDSC/MS1smTDUDiM&#10;c2H8JKartcZyez8KcDRICN0otN49e3AjRRRyQIqEj0iUIQ22fTY9n0bkR0FnV8sDf8DriQLicaFa&#10;elwfJXVOI+tQTej6C1NEcXsmVX/HZGWGMYTO9zPw7bIdBDBMdwnFFudiod8W3G68VGA/U9LgpuTU&#10;fVozKyhRrwzO9iKdTMJqRWMyPR+jYY8jy+MIMxyhcuop6a/XPq5jaLuBK9RAKeN4glj6SoaScQNi&#10;E4dtDSt2bMevfv9TFr8AAAD//wMAUEsDBBQABgAIAAAAIQCgCUGA4QAAAAkBAAAPAAAAZHJzL2Rv&#10;d25yZXYueG1sTI9BS8NAEIXvgv9hGcGLtJtI2saYTYmCoFARW71vk2k2NDsbsps2+usdT3oc3seb&#10;7+XryXbihINvHSmI5xEIpMrVLTUKPnZPsxSED5pq3TlCBV/oYV1cXuQ6q92Z3vG0DY3gEvKZVmBC&#10;6DMpfWXQaj93PRJnBzdYHfgcGlkP+szltpO3UbSUVrfEH4zu8dFgddyOVkH5Ot49mHT6vGlfNsfv&#10;XfRWxs8Hpa6vpvIeRMAp/MHwq8/qULDT3o1Ue9EpmMVLJhUsYl7AeZqsEhB7BhfJCmSRy/8Lih8A&#10;AAD//wMAUEsBAi0AFAAGAAgAAAAhALaDOJL+AAAA4QEAABMAAAAAAAAAAAAAAAAAAAAAAFtDb250&#10;ZW50X1R5cGVzXS54bWxQSwECLQAUAAYACAAAACEAOP0h/9YAAACUAQAACwAAAAAAAAAAAAAAAAAv&#10;AQAAX3JlbHMvLnJlbHNQSwECLQAUAAYACAAAACEANH6AvGgCAACbBAAADgAAAAAAAAAAAAAAAAAu&#10;AgAAZHJzL2Uyb0RvYy54bWxQSwECLQAUAAYACAAAACEAoAlBgOEAAAAJAQAADwAAAAAAAAAAAAAA&#10;AADCBAAAZHJzL2Rvd25yZXYueG1sUEsFBgAAAAAEAAQA8wAAANAFAAAAAA==&#10;" fillcolor="#fff2cc [663]" strokeweight="2.25pt">
                <v:textbox>
                  <w:txbxContent>
                    <w:p w14:paraId="114B79F6" w14:textId="6BAB2AA4" w:rsidR="008C2810" w:rsidRPr="00914829" w:rsidRDefault="008C2810" w:rsidP="008C2810">
                      <w:pPr>
                        <w:spacing w:line="420" w:lineRule="exact"/>
                        <w:ind w:right="440" w:firstLineChars="100" w:firstLine="22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E374E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法第20条第1項第二号イ前段の技術的基準に適合していること及び令第81条第2項第二号イに</w:t>
                      </w:r>
                      <w:r w:rsidRPr="00E374E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定める基準</w:t>
                      </w:r>
                      <w:r w:rsidR="00211CA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に</w:t>
                      </w:r>
                      <w:r w:rsidR="00211CAB">
                        <w:rPr>
                          <w:rFonts w:ascii="游ゴシック" w:eastAsia="游ゴシック" w:hAnsi="游ゴシック"/>
                          <w:sz w:val="22"/>
                        </w:rPr>
                        <w:t>適合</w:t>
                      </w:r>
                      <w:r w:rsidRPr="00E374E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し</w:t>
                      </w:r>
                      <w:r w:rsidRPr="00E374E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た構造計算（ルート２）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4EB" w:rsidRPr="00E374EB">
        <w:rPr>
          <w:rFonts w:ascii="游ゴシック" w:eastAsia="游ゴシック" w:hAnsi="游ゴシック" w:hint="eastAsia"/>
          <w:b/>
          <w:color w:val="000000" w:themeColor="text1"/>
          <w:sz w:val="22"/>
        </w:rPr>
        <w:t>※構造計算ルート２、ルート３の場合の記載例</w:t>
      </w:r>
    </w:p>
    <w:sectPr w:rsidR="00AE2D51" w:rsidRPr="00E374E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C207" w14:textId="77777777" w:rsidR="00A92FB1" w:rsidRDefault="00A92FB1" w:rsidP="00E13786">
      <w:r>
        <w:separator/>
      </w:r>
    </w:p>
  </w:endnote>
  <w:endnote w:type="continuationSeparator" w:id="0">
    <w:p w14:paraId="07C548A7" w14:textId="77777777" w:rsidR="00A92FB1" w:rsidRDefault="00A92FB1" w:rsidP="00E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B207" w14:textId="77777777" w:rsidR="00A92FB1" w:rsidRDefault="00A92FB1" w:rsidP="00E13786">
      <w:r>
        <w:separator/>
      </w:r>
    </w:p>
  </w:footnote>
  <w:footnote w:type="continuationSeparator" w:id="0">
    <w:p w14:paraId="4F424FC7" w14:textId="77777777" w:rsidR="00A92FB1" w:rsidRDefault="00A92FB1" w:rsidP="00E1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F5110" w14:textId="3EC15A25" w:rsidR="00E13786" w:rsidRPr="00E13786" w:rsidRDefault="007D714B" w:rsidP="00E13786">
    <w:pPr>
      <w:pStyle w:val="ac"/>
      <w:jc w:val="center"/>
      <w:rPr>
        <w:rFonts w:ascii="游ゴシック" w:eastAsia="游ゴシック" w:hAnsi="游ゴシック"/>
        <w:sz w:val="28"/>
      </w:rPr>
    </w:pPr>
    <w:r>
      <w:rPr>
        <w:rFonts w:ascii="游ゴシック" w:eastAsia="游ゴシック" w:hAnsi="游ゴシック" w:hint="eastAsia"/>
        <w:sz w:val="28"/>
      </w:rPr>
      <w:t>記載例</w:t>
    </w:r>
    <w:r w:rsidRPr="007D714B">
      <w:rPr>
        <w:rFonts w:ascii="游ゴシック" w:eastAsia="游ゴシック" w:hAnsi="游ゴシック" w:hint="eastAsia"/>
      </w:rPr>
      <w:t>（水色マーカー部分は物件ごと該当するものを記載）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17CB"/>
    <w:multiLevelType w:val="hybridMultilevel"/>
    <w:tmpl w:val="BBECE404"/>
    <w:lvl w:ilvl="0" w:tplc="CA7EEFF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C"/>
    <w:rsid w:val="00006373"/>
    <w:rsid w:val="00044153"/>
    <w:rsid w:val="00175FF2"/>
    <w:rsid w:val="00211CAB"/>
    <w:rsid w:val="002A36B9"/>
    <w:rsid w:val="00366240"/>
    <w:rsid w:val="004644EA"/>
    <w:rsid w:val="004717CF"/>
    <w:rsid w:val="004B70AA"/>
    <w:rsid w:val="004F12FB"/>
    <w:rsid w:val="0058584C"/>
    <w:rsid w:val="005C25A6"/>
    <w:rsid w:val="00601484"/>
    <w:rsid w:val="00641B2E"/>
    <w:rsid w:val="00657E24"/>
    <w:rsid w:val="006B761C"/>
    <w:rsid w:val="007675D3"/>
    <w:rsid w:val="007D714B"/>
    <w:rsid w:val="008C2810"/>
    <w:rsid w:val="008C726F"/>
    <w:rsid w:val="00914829"/>
    <w:rsid w:val="009D10B7"/>
    <w:rsid w:val="00A92FB1"/>
    <w:rsid w:val="00AE2D51"/>
    <w:rsid w:val="00C70520"/>
    <w:rsid w:val="00D547FE"/>
    <w:rsid w:val="00E13786"/>
    <w:rsid w:val="00E374EB"/>
    <w:rsid w:val="00EF34A4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CA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7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7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7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7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7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0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D10B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786"/>
  </w:style>
  <w:style w:type="paragraph" w:styleId="ae">
    <w:name w:val="footer"/>
    <w:basedOn w:val="a"/>
    <w:link w:val="af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8C08-2C29-48A5-A5E6-E3C03337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2022-04-11T04:25:00Z</dcterms:created>
  <dcterms:modified xsi:type="dcterms:W3CDTF">2025-02-04T01:37:00Z</dcterms:modified>
</cp:coreProperties>
</file>